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51</w:t>
      </w:r>
    </w:p>
    <w:p>
      <w:r>
        <w:t>Bundesgericht (BGE), 1990-03-01, DE</w:t>
      </w:r>
    </w:p>
    <w:p>
      <w:r>
        <w:rPr>
          <w:b/>
        </w:rPr>
        <w:t xml:space="preserve">Quelle: </w:t>
      </w:r>
      <w:r>
        <w:t>https://mcp.opencaselaw.ch/entscheid/bge_116 V 51</w:t>
      </w:r>
    </w:p>
    <w:p>
      <w:r>
        <w:t>FR: ATF 116 V 51</w:t>
      </w:r>
    </w:p>
    <w:p>
      <w:r>
        <w:t>IT: DTF 116 V 51</w:t>
      </w:r>
    </w:p>
    <w:p>
      <w:pPr>
        <w:pStyle w:val="Heading2"/>
      </w:pPr>
      <w:r>
        <w:t>Regeste</w:t>
      </w:r>
    </w:p>
    <w:p>
      <w:r>
        <w:t>Regeste Art. 77 UVG, Art. 112 Abs. 2 UVV: Versichererwechsel. - Wird nach eingetretenem Unfallereignis der Versicherer gewechselt, so bleibt der Versicherer leistungspflichtig, bei dem der Verunfallte im Zeitpunkt des leistungsbegründenden Ereignisses versichert war. - Art. 112 Abs. 2 UVV ist gesetzwidrig.</w:t>
      </w:r>
    </w:p>
    <w:p>
      <w:pPr>
        <w:pStyle w:val="Heading2"/>
      </w:pPr>
      <w:r>
        <w:t>Erwägungen</w:t>
      </w:r>
    </w:p>
    <w:p>
      <w:r>
        <w:rPr>
          <w:b/>
        </w:rPr>
        <w:t>E. 1</w:t>
      </w:r>
    </w:p>
    <w:p>
      <w:r>
        <w:t>a) Nach Art. 77 Abs. 1 UVG erbringt bei Berufsunfällen der Versicherer die Leistungen, bei dem die Versicherung zur Zeit des Unfalles bestanden hat. Bei Nichtberufsunfällen ist jener Versicherer leistungspflichtig, bei dem der Verunfallte zuletzt auch gegen Berufsunfälle versichert war (Abs. 2). Durch diese Vorschriften wird bestimmt, welcher Versicherer leistungspflichtig ist, wenn ein Arbeitnehmer bei Eintritt des leistungsbegründenden Ereignisses und in der Folgezeit bei verschiedenen Versicherern versichert war (MAURER, Schweizerisches Unfallversicherungsrecht, S. 68). In diesem Zusammenhang ist Art. 112 UVV mit dem Randtitel "Wechsel des Versicherers" zu beachten, dessen Absatz 1 folgendes bestimmt: "Der Versicherer darf für den Fall, dass der Arbeitgeber den Versicherer wechselt ( Art. 59 Abs. 2 UVG ) oder dass der Betrieb neu zugeteilt wird ( Art. 76 UVG ), keine besonderen Reserven bestellen." Ferner schreibt Absatz 2 vor, dass beim Wechsel des Versicherers nach Absatz 1 der neue Versicherer vom Zeitpunkt des Wechsels hinweg die Kosten der vorher eingetretenen und nach dem Gesetz versicherten Unfälle übernimmt, mit Ausnahme der vor dem Wechsel festgesetzten Renten. Es fragt sich, ob diese Verordnungsbestimmung, welche die Leistungspflicht für vor dem Versicherungswechsel eingetretene Unfälle für die Zeit nach dem später erfolgten Versichererwechsel dem neuen Versicherer auferlegt, im Einklang steht mit Art. 77 Abs. 1 und 2 UVG , wonach ohne jede Ausnahme der Versicherer leistungspflichtig ist, der den Versicherten im Zeitpunkt des Schadenseintrittes versicherte. Diese Frage ist von Amtes wegen zu prüfen (GYGI, Bundesverwaltungsrechtspflege, 2. Aufl., S. 227). b) (Überprüfung von Verordnungen des Bundesrates) c) Der Wortlaut der Absätze 1 und 2 von Art. 77 UVG ist eindeutig und lässt keinen Raum für davon abweichendes Verordnungsrecht. Lediglich der Absatz 3 von Art. 77 delegiert dem Bundesrat die Befugnis, die Leistungspflicht und das Zusammenwirken der Versicherer zu ordnen: BGE 116 V 51 S. 54 "a. für Versicherte, die von verschiedenen Arbeitgebern beschäftigt werden; b. bei einem erneuten Unfall, namentlich wenn er zum Verlust paariger Organe oder zu anderen Änderungen des Invaliditätsgrades führt; c. beim Tode beider Elternteile; d. bei Berufskrankheiten, die in mehreren, bei verschiedenen Versicherern versicherten Betrieben verursacht wurden". Die Aufzählung der Fälle, in denen der Bundesrat auf dem Verordnungsweg die Leistungspflicht und das Zusammenwirken der Versicherer abweichend von den Absätzen 1 und 2 des Art. 77 UVG regeln kann, sind in Absatz 3 abschliessend aufgezählt. Der Sachverhalt, dass ein Arbeitgeber seine Arbeitnehmer nach eingetretenem Unfallereignis bei einem andern Versicherer versichert oder der SUVA unterstellt wird, lässt sich unter keinen der in Art. 77 Abs. 3 UVG umschriebenen Sachverhalte subsumieren. Irgendeine andere Norm, welche den Bundesrat ermächtigen würde, abweichend von Art. 77 Abs. 1 und 2 UVG bei der Neuunterstellung eines Betriebes dem Grundsatz nach den leistungspflichtigen Versicherer zu bestimmen, enthält das UVG nicht. Soweit Art. 77 Abs. 1 und 2 UVG durch Art. 112 UVV abgeändert wird, steht dieser mit dem Gesetz nicht im Einklang. Ist er aber gesetzwidrig, so darf er nicht angewandt werden. Damit braucht - entgegen der Auffassung des BSV - nicht geprüft zu werden, ob Art. 112 Abs. 2 UVV überhaupt auf freiwillig kollektivversicherte Arbeitnehmer anwendbar ist oder nicht.</w:t>
      </w:r>
    </w:p>
    <w:p>
      <w:r>
        <w:rPr>
          <w:b/>
        </w:rPr>
        <w:t>E. 2</w:t>
      </w:r>
    </w:p>
    <w:p>
      <w:r>
        <w:t>Die Firma L.-R. + Co., bei welcher die Beschwerdegegnerin freiwillig versichert war, wurde auf den 1. Juni 1984 der SUVA unterstellt. Da Art. 112 Abs. 2 UVV wegen fehlender Gesetzeskonformität für die Bestimmung des leistungspflichtigen Versicherers ohnehin nicht zur Anwendung gelangen kann, ist ausschliesslich Art. 77 Abs. 2 UVG anwendbar, wonach bei Nichtberufsunfällen derjenige Versicherer die Leistungen zu erbringen hat, bei dem die verunfallte Person zuletzt gegen Berufsunfälle versichert war. Das war im vorliegenden Fall die Alpina, weshalb diese für die Folgen des Unfallereignisses vom 9. April 1984, trotz Unterstellung des Betriebes unter die SUVA auf den 1. Juni 1984, in Anwendung von Art. 77 Abs. 2 UVG nach wie vor leistungspflichtig ist. Die Verwaltungsgerichtsbeschwerde erweist sich demnach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